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91051.xml.htm"/>
      <w:bookmarkStart w:id="1" w:name="ksform410022026_0910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RENTON HOLLINGS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49.8743</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9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10,000</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on March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$49.435 to $50.37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is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addition to the remaining options to purchase 10,000 shares of common stock as set forth in Table II, the Reporting Person also holds additional options to purchase up to an aggregate of 92,320 shares of common stock, which options vest according to their terms.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Murphy,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022026_091051.htm"/>
      <w:bookmarkStart w:id="3" w:name="ksex2410022026_091051"/>
      <w:bookmarkStart w:id="4" w:name="ex24-10022026_091051.htm"/>
      <w:bookmarkStart w:id="5" w:name="ksex2410022026_091051"/>
      <w:bookmarkEnd w:id="4"/>
      <w:bookmarkEnd w:id="5"/>
      <w:r>
        <w:br w:type="page"/>
      </w:r>
    </w:p>
    <w:p>
      <w:pPr>
        <w:pStyle w:val="TextBody"/>
        <w:bidi w:val="0"/>
        <w:spacing w:before="0" w:after="210"/>
        <w:jc w:val="left"/>
        <w:rPr>
          <w:sz w:val="22"/>
        </w:rPr>
      </w:pPr>
      <w:r>
        <w:rPr>
          <w:sz w:val="22"/>
        </w:rPr>
        <w:t>Exhibit 24.1</w:t>
      </w:r>
    </w:p>
    <w:p>
      <w:pPr>
        <w:pStyle w:val="TextBody"/>
        <w:bidi w:val="0"/>
        <w:spacing w:before="0" w:after="210"/>
        <w:jc w:val="center"/>
        <w:rPr>
          <w:b/>
          <w:sz w:val="22"/>
          <w:u w:val="single"/>
        </w:rPr>
      </w:pPr>
      <w:r>
        <w:rPr>
          <w:b/>
          <w:sz w:val="22"/>
          <w:u w:val="single"/>
        </w:rPr>
        <w:t>POWER OF ATTORNEY</w:t>
      </w:r>
    </w:p>
    <w:p>
      <w:pPr>
        <w:pStyle w:val="TextBody"/>
        <w:bidi w:val="0"/>
        <w:spacing w:before="0" w:after="210"/>
        <w:ind w:left="0" w:right="0" w:firstLine="720"/>
        <w:jc w:val="both"/>
        <w:rPr>
          <w:sz w:val="22"/>
        </w:rPr>
      </w:pPr>
      <w:r>
        <w:rPr>
          <w:sz w:val="22"/>
        </w:rPr>
        <w:t>KNOW ALL BY THESE PRESENTS, that the undersigned hereby constitutes and appoints Christopher Murphy, Dave McKeon and Dan Faga, and each of them, her true and lawful attorney-in-fact to:</w:t>
      </w:r>
    </w:p>
    <w:p>
      <w:pPr>
        <w:pStyle w:val="TextBody"/>
        <w:bidi w:val="0"/>
        <w:spacing w:before="0" w:after="210"/>
        <w:ind w:left="0" w:right="0" w:hanging="30"/>
        <w:jc w:val="both"/>
        <w:rPr>
          <w:sz w:val="22"/>
        </w:rPr>
      </w:pPr>
      <w:r>
        <w:rPr>
          <w:sz w:val="22"/>
        </w:rPr>
        <w:t>execute for and on behalf of the undersigned, in the undersigned’s capacity as a representative of AnaptysBio, Inc. (“</w:t>
      </w:r>
      <w:r>
        <w:rPr>
          <w:b/>
          <w:i/>
          <w:sz w:val="22"/>
        </w:rPr>
        <w:t>Company</w:t>
      </w:r>
      <w:r>
        <w:rPr>
          <w:sz w:val="22"/>
        </w:rPr>
        <w:t>”), any and all Form 3, 4 or 5 reports required to be filed by the undersigned in accordance with Section 16(a) of the Securities Exchange Act of 1934, as amended (“</w:t>
      </w:r>
      <w:r>
        <w:rPr>
          <w:b/>
          <w:i/>
          <w:sz w:val="22"/>
        </w:rPr>
        <w:t>Exchange Act</w:t>
      </w:r>
      <w:r>
        <w:rPr>
          <w:sz w:val="22"/>
        </w:rPr>
        <w:t>”), and the rules thereunder with respect to transactions in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210"/>
        <w:ind w:left="0" w:right="0" w:hanging="30"/>
        <w:jc w:val="both"/>
        <w:rPr>
          <w:sz w:val="22"/>
        </w:rPr>
      </w:pPr>
      <w:r>
        <w:rPr>
          <w:sz w:val="22"/>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60655"/>
                <wp:effectExtent l="0" t="0" r="0" b="0"/>
                <wp:wrapSquare wrapText="right"/>
                <wp:docPr id="6"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21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60655"/>
                <wp:effectExtent l="0" t="0" r="0" b="0"/>
                <wp:wrapSquare wrapText="right"/>
                <wp:docPr id="7"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210"/>
        <w:ind w:left="0" w:right="0" w:firstLine="720"/>
        <w:jc w:val="both"/>
        <w:rPr>
          <w:sz w:val="22"/>
        </w:rPr>
      </w:pPr>
      <w:r>
        <w:rPr>
          <w:sz w:val="22"/>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pStyle w:val="TextBody"/>
        <w:bidi w:val="0"/>
        <w:spacing w:before="0" w:after="210"/>
        <w:ind w:left="0" w:right="0" w:firstLine="720"/>
        <w:jc w:val="both"/>
        <w:rPr>
          <w:sz w:val="22"/>
        </w:rPr>
      </w:pPr>
      <w:r>
        <w:rPr>
          <w:sz w:val="22"/>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pStyle w:val="TextBody"/>
        <w:bidi w:val="0"/>
        <w:spacing w:before="0" w:after="660"/>
        <w:ind w:left="0" w:right="0" w:firstLine="720"/>
        <w:jc w:val="both"/>
        <w:rPr>
          <w:sz w:val="22"/>
        </w:rPr>
      </w:pPr>
      <w:r>
        <w:rPr>
          <w:sz w:val="22"/>
        </w:rPr>
        <w:t>IN WITNESS WHEREOF, the undersigned has caused this Power of Attorney to be executed as of the 2nd day of October, 2026.</w:t>
      </w:r>
    </w:p>
    <w:p>
      <w:pPr>
        <w:pStyle w:val="TextBody"/>
        <w:pBdr/>
        <w:bidi w:val="0"/>
        <w:spacing w:before="0" w:after="0"/>
        <w:ind w:left="0" w:right="0" w:hanging="0"/>
        <w:jc w:val="both"/>
        <w:rPr>
          <w:sz w:val="22"/>
          <w:u w:val="single"/>
        </w:rPr>
      </w:pPr>
      <w:r>
        <w:rPr>
          <w:sz w:val="22"/>
          <w:u w:val="single"/>
        </w:rPr>
        <w:t>/s/ Hollings Renton</w:t>
      </w:r>
    </w:p>
    <w:p>
      <w:pPr>
        <w:pStyle w:val="TextBody"/>
        <w:pBdr/>
        <w:bidi w:val="0"/>
        <w:spacing w:before="0" w:after="0"/>
        <w:ind w:left="0" w:right="0" w:hanging="0"/>
        <w:jc w:val="both"/>
        <w:rPr>
          <w:sz w:val="22"/>
        </w:rPr>
      </w:pPr>
      <w:r>
        <w:rPr>
          <w:sz w:val="22"/>
        </w:rPr>
        <w:t>Hollings Renton</w:t>
      </w:r>
    </w:p>
    <w:p>
      <w:pPr>
        <w:pStyle w:val="TextBody"/>
        <w:bidi w:val="0"/>
        <w:spacing w:before="0" w:after="0"/>
        <w:ind w:left="0" w:right="0" w:hanging="0"/>
        <w:jc w:val="both"/>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7333"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1197</Words>
  <Characters>6264</Characters>
  <CharactersWithSpaces>7358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